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DEA5" w14:textId="77777777" w:rsidR="00D22F46" w:rsidRPr="00863671" w:rsidRDefault="009871B0" w:rsidP="00C07D5E">
      <w:pPr>
        <w:pStyle w:val="Nagwek1"/>
        <w:rPr>
          <w:rFonts w:ascii="Times New Roman" w:hAnsi="Times New Roman" w:cs="Times New Roman"/>
          <w:color w:val="auto"/>
          <w:sz w:val="32"/>
        </w:rPr>
      </w:pPr>
      <w:r w:rsidRPr="00863671">
        <w:rPr>
          <w:rFonts w:ascii="Times New Roman" w:hAnsi="Times New Roman" w:cs="Times New Roman"/>
          <w:color w:val="auto"/>
          <w:sz w:val="32"/>
        </w:rPr>
        <w:t>Wymagania edukacyjne na poszczególne oceny z fizyki</w:t>
      </w:r>
      <w:r w:rsidR="00863671">
        <w:rPr>
          <w:rFonts w:ascii="Times New Roman" w:hAnsi="Times New Roman" w:cs="Times New Roman"/>
          <w:color w:val="auto"/>
          <w:sz w:val="32"/>
        </w:rPr>
        <w:t xml:space="preserve"> w klasie 7</w:t>
      </w:r>
    </w:p>
    <w:p w14:paraId="7F9B1373" w14:textId="77777777" w:rsidR="00B85FE8" w:rsidRPr="00863671" w:rsidRDefault="00B85FE8" w:rsidP="00C07D5E"/>
    <w:p w14:paraId="7B46317A" w14:textId="77777777" w:rsidR="00B85FE8" w:rsidRPr="00863671" w:rsidRDefault="00B85FE8" w:rsidP="00C07D5E">
      <w:pPr>
        <w:rPr>
          <w:b/>
          <w:sz w:val="28"/>
        </w:rPr>
      </w:pPr>
      <w:r w:rsidRPr="00863671">
        <w:rPr>
          <w:b/>
          <w:sz w:val="28"/>
        </w:rPr>
        <w:t>I okres</w:t>
      </w:r>
    </w:p>
    <w:p w14:paraId="4EE4FFF1" w14:textId="77777777" w:rsidR="00B85FE8" w:rsidRPr="009871B0" w:rsidRDefault="00B85FE8" w:rsidP="00C07D5E">
      <w:pPr>
        <w:rPr>
          <w:b/>
        </w:rPr>
      </w:pPr>
    </w:p>
    <w:p w14:paraId="423BACAC" w14:textId="77777777"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487" w:type="dxa"/>
        <w:tblLayout w:type="fixed"/>
        <w:tblLook w:val="01E0" w:firstRow="1" w:lastRow="1" w:firstColumn="1" w:lastColumn="1" w:noHBand="0" w:noVBand="0"/>
      </w:tblPr>
      <w:tblGrid>
        <w:gridCol w:w="1908"/>
        <w:gridCol w:w="2775"/>
        <w:gridCol w:w="2775"/>
        <w:gridCol w:w="2776"/>
        <w:gridCol w:w="2127"/>
        <w:gridCol w:w="2126"/>
      </w:tblGrid>
      <w:tr w:rsidR="00635A06" w:rsidRPr="00C07D5E" w14:paraId="37872B47" w14:textId="77777777" w:rsidTr="00635A06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065C2073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Zagadnienia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według programu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175586B7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471DD107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5DE8DC5F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495B18C1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46D181B3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6E6984D8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14:paraId="611A43FC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47AEFB94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1EF63F39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67E43B1B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39BC6D00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0CAE6BF3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6" w:type="dxa"/>
          </w:tcPr>
          <w:p w14:paraId="1A6FFFAE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55B064BE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6B159F24" w14:textId="77777777" w:rsidR="00635A06" w:rsidRPr="00C07D5E" w:rsidRDefault="00635A06" w:rsidP="00415EF9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635A06" w:rsidRPr="006D1637" w14:paraId="529AF738" w14:textId="77777777" w:rsidTr="00635A06">
        <w:tc>
          <w:tcPr>
            <w:tcW w:w="1908" w:type="dxa"/>
            <w:tcMar>
              <w:left w:w="28" w:type="dxa"/>
              <w:right w:w="28" w:type="dxa"/>
            </w:tcMar>
          </w:tcPr>
          <w:p w14:paraId="57941EBB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686BC0E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14:paraId="08D43703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14:paraId="504F207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14:paraId="069C6B4B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14:paraId="39CCC05D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EFC7863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14:paraId="36A36E8B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14:paraId="36D498A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14:paraId="14F0DD18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14:paraId="775E8B73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0118C1A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zapisuje różnice między wartością końcową i początkowa wielkości fizycznej (np.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EF484B">
              <w:rPr>
                <w:spacing w:val="-4"/>
                <w:szCs w:val="18"/>
              </w:rPr>
              <w:t>∆</w:t>
            </w:r>
            <w:r w:rsidRPr="00EF484B">
              <w:rPr>
                <w:i/>
                <w:spacing w:val="-4"/>
                <w:szCs w:val="18"/>
              </w:rPr>
              <w:t>l</w:t>
            </w:r>
            <w:r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14:paraId="2DC9D559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14:paraId="330A7B38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425E80D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14:paraId="2D440E9B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14:paraId="26F12445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14:paraId="0C091FA2" w14:textId="77777777" w:rsidR="00635A06" w:rsidRPr="006D1637" w:rsidRDefault="00635A06" w:rsidP="00635A06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6" w:type="dxa"/>
          </w:tcPr>
          <w:p w14:paraId="550F3A4B" w14:textId="77777777" w:rsidR="00635A06" w:rsidRPr="006D1637" w:rsidRDefault="00635A06" w:rsidP="00635A06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14:paraId="443C266D" w14:textId="77777777" w:rsidR="00635A06" w:rsidRPr="006D1637" w:rsidRDefault="00635A06" w:rsidP="00635A06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41F39CC0" w14:textId="77777777" w:rsidTr="00635A06">
        <w:tc>
          <w:tcPr>
            <w:tcW w:w="1908" w:type="dxa"/>
            <w:tcMar>
              <w:left w:w="28" w:type="dxa"/>
              <w:right w:w="28" w:type="dxa"/>
            </w:tcMar>
          </w:tcPr>
          <w:p w14:paraId="1E0AEE19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245CE4E3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14:paraId="1AC5ADF6" w14:textId="3A0300E3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="00AA6017"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043B72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zór na siłę ciężkości" style="width:33.75pt;height:14.25pt" o:ole="">
                  <v:imagedata r:id="rId8" o:title=""/>
                </v:shape>
                <o:OLEObject Type="Embed" ProgID="Equation.DSMT4" ShapeID="_x0000_i1025" DrawAspect="Content" ObjectID="_1787249112" r:id="rId9"/>
              </w:object>
            </w:r>
          </w:p>
          <w:p w14:paraId="2CAF7383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61EF2475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14:paraId="2E567B5D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46C776FA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14:paraId="6D2C26A4" w14:textId="77777777" w:rsidR="00635A06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przekształca wzór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proofErr w:type="spellStart"/>
            <w:r w:rsidRPr="00EF484B">
              <w:rPr>
                <w:rFonts w:asciiTheme="minorHAnsi" w:hAnsiTheme="minorHAnsi"/>
                <w:i/>
                <w:spacing w:val="-4"/>
                <w:szCs w:val="18"/>
              </w:rPr>
              <w:t>F</w:t>
            </w:r>
            <w:r w:rsidRPr="00EF484B">
              <w:rPr>
                <w:rFonts w:asciiTheme="minorHAnsi" w:hAnsiTheme="minorHAnsi"/>
                <w:i/>
                <w:spacing w:val="-4"/>
                <w:szCs w:val="18"/>
                <w:vertAlign w:val="subscript"/>
              </w:rPr>
              <w:t>c</w:t>
            </w:r>
            <w:proofErr w:type="spellEnd"/>
            <w:r w:rsidRPr="00EF484B">
              <w:rPr>
                <w:rFonts w:asciiTheme="minorHAnsi" w:hAnsiTheme="minorHAnsi"/>
                <w:i/>
                <w:spacing w:val="-4"/>
                <w:szCs w:val="18"/>
                <w:vertAlign w:val="subscript"/>
              </w:rPr>
              <w:t xml:space="preserve"> </w:t>
            </w:r>
            <w:r w:rsidRPr="00EF484B">
              <w:rPr>
                <w:rFonts w:asciiTheme="minorHAnsi" w:hAnsiTheme="minorHAnsi"/>
                <w:i/>
                <w:spacing w:val="-4"/>
                <w:szCs w:val="18"/>
              </w:rPr>
              <w:t xml:space="preserve"> = mg</w:t>
            </w:r>
          </w:p>
          <w:p w14:paraId="51D348E7" w14:textId="77777777" w:rsidR="00635A06" w:rsidRPr="006D1637" w:rsidRDefault="00635A06" w:rsidP="00EF48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i oblicza masę ciała, znając wartość jego ciężaru</w:t>
            </w:r>
          </w:p>
          <w:p w14:paraId="31A0B25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CE68712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  <w:tc>
          <w:tcPr>
            <w:tcW w:w="2126" w:type="dxa"/>
          </w:tcPr>
          <w:p w14:paraId="32D8CB14" w14:textId="77777777" w:rsidR="00635A06" w:rsidRPr="006D1637" w:rsidRDefault="00635A06" w:rsidP="00635A06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rozwiązuje bezbłędnie zadania dotyczące ciężaru o podwyższonym stopniu trudności</w:t>
            </w:r>
          </w:p>
        </w:tc>
      </w:tr>
      <w:tr w:rsidR="00635A06" w:rsidRPr="006D1637" w14:paraId="2B952FFC" w14:textId="77777777" w:rsidTr="00635A06">
        <w:tc>
          <w:tcPr>
            <w:tcW w:w="1908" w:type="dxa"/>
            <w:tcMar>
              <w:left w:w="28" w:type="dxa"/>
              <w:right w:w="28" w:type="dxa"/>
            </w:tcMar>
          </w:tcPr>
          <w:p w14:paraId="39D14D77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2D958E4C" w14:textId="77777777" w:rsidR="00635A06" w:rsidRDefault="00635A06" w:rsidP="00BD5A95">
            <w:pPr>
              <w:pStyle w:val="tabelakropka"/>
              <w:spacing w:line="252" w:lineRule="auto"/>
            </w:pPr>
            <w:r>
              <w:t>odczytuje gęstość substancji z tabeli</w:t>
            </w:r>
          </w:p>
          <w:p w14:paraId="5D80B8B3" w14:textId="77777777" w:rsidR="00635A06" w:rsidRDefault="00635A06" w:rsidP="00BD5A95">
            <w:pPr>
              <w:pStyle w:val="tabelakropka"/>
              <w:spacing w:line="252" w:lineRule="auto"/>
            </w:pPr>
            <w:r>
              <w:t xml:space="preserve"> mierzy objętość ciał o nieregularnych kształtach za pomocą menzurki </w:t>
            </w:r>
          </w:p>
          <w:p w14:paraId="2E3A829F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15B1CE34" w14:textId="77777777" w:rsidR="00635A06" w:rsidRDefault="00635A06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14:paraId="61405C75" w14:textId="77777777" w:rsidR="00635A06" w:rsidRPr="001B19E5" w:rsidRDefault="00635A06" w:rsidP="00BD5A95">
            <w:pPr>
              <w:pStyle w:val="tabelakropka"/>
              <w:spacing w:line="252" w:lineRule="auto"/>
            </w:pPr>
            <w:r>
              <w:t xml:space="preserve">oblicza gęstość substancji ze wzoru  </w:t>
            </w:r>
            <m:oMath>
              <m:r>
                <w:rPr>
                  <w:rFonts w:ascii="Cambria Math" w:hAnsi="Cambria Math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</m:oMath>
          </w:p>
          <w:p w14:paraId="7D27DDDA" w14:textId="77777777" w:rsidR="00635A06" w:rsidRDefault="00635A06" w:rsidP="00BD5A95">
            <w:pPr>
              <w:pStyle w:val="tabelakropka"/>
              <w:spacing w:line="252" w:lineRule="auto"/>
            </w:pPr>
            <w:r>
              <w:t xml:space="preserve">szacuje niepewności pomiarowe przy pomiarach masy i objętości </w:t>
            </w:r>
          </w:p>
          <w:p w14:paraId="7D76DCDE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54042769" w14:textId="77777777" w:rsidR="00635A06" w:rsidRDefault="00635A06" w:rsidP="00BD5056">
            <w:pPr>
              <w:pStyle w:val="tabelakropka"/>
              <w:spacing w:line="252" w:lineRule="auto"/>
            </w:pPr>
            <w:r>
              <w:lastRenderedPageBreak/>
              <w:t>przekształca wzór</w:t>
            </w:r>
            <m:oMath>
              <m:r>
                <w:rPr>
                  <w:rFonts w:ascii="Cambria Math" w:hAnsi="Cambria Math"/>
                </w:rPr>
                <m:t xml:space="preserve"> d=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</m:oMath>
            <w:r>
              <w:t xml:space="preserve">  </w:t>
            </w:r>
          </w:p>
          <w:p w14:paraId="3E68BD3D" w14:textId="77777777" w:rsidR="00635A06" w:rsidRDefault="00635A06" w:rsidP="00EF484B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</w:pPr>
            <w:r>
              <w:t>i oblicza każdą z wielkości fizycznych w tym wzorze</w:t>
            </w:r>
          </w:p>
          <w:p w14:paraId="53309BAF" w14:textId="77777777" w:rsidR="00635A06" w:rsidRPr="00FD6B7B" w:rsidRDefault="00635A06" w:rsidP="00FD6B7B">
            <w:pPr>
              <w:pStyle w:val="tabelakropka"/>
              <w:spacing w:line="252" w:lineRule="auto"/>
            </w:pPr>
            <w:r>
              <w:t>wyznacza doświadczalnie gęstość cieczy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AD17034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  <w:tc>
          <w:tcPr>
            <w:tcW w:w="2126" w:type="dxa"/>
          </w:tcPr>
          <w:p w14:paraId="1FCA3663" w14:textId="77777777" w:rsidR="00635A06" w:rsidRPr="006D1637" w:rsidRDefault="00635A06" w:rsidP="00635A06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rozwiązuje bezbłędnie zadania dotyczące gęstości o podwyższonym stopniu trudności</w:t>
            </w:r>
          </w:p>
        </w:tc>
      </w:tr>
      <w:tr w:rsidR="00635A06" w:rsidRPr="006D1637" w14:paraId="290BEC3B" w14:textId="77777777" w:rsidTr="00635A06">
        <w:tc>
          <w:tcPr>
            <w:tcW w:w="1908" w:type="dxa"/>
            <w:tcMar>
              <w:left w:w="28" w:type="dxa"/>
              <w:right w:w="28" w:type="dxa"/>
            </w:tcMar>
          </w:tcPr>
          <w:p w14:paraId="155E9CFB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1.4. Pomiar ciśnienia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69B9192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14:paraId="7D05FFEB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14:paraId="6A37E104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CC04006" w14:textId="77777777" w:rsidR="00635A06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</w:p>
          <w:p w14:paraId="766523C2" w14:textId="77777777" w:rsidR="00635A06" w:rsidRPr="00EF484B" w:rsidRDefault="00635A06" w:rsidP="00EF48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 w:val="16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Cs w:val="18"/>
                  </w:rPr>
                  <m:t xml:space="preserve"> 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4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4"/>
                        <w:szCs w:val="18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pacing w:val="-4"/>
                        <w:szCs w:val="18"/>
                      </w:rPr>
                      <m:t>S</m:t>
                    </m:r>
                  </m:den>
                </m:f>
              </m:oMath>
            </m:oMathPara>
          </w:p>
          <w:p w14:paraId="2119B3CD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14:paraId="72138FB8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737D7449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przekształca wzór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pacing w:val="-4"/>
                  <w:szCs w:val="18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Cs w:val="1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Cs w:val="18"/>
                    </w:rPr>
                    <m:t>S</m:t>
                  </m:r>
                </m:den>
              </m:f>
            </m:oMath>
            <w:r w:rsidRPr="00EF484B">
              <w:rPr>
                <w:rFonts w:asciiTheme="minorHAnsi" w:hAnsiTheme="minorHAnsi"/>
                <w:spacing w:val="-4"/>
                <w:sz w:val="20"/>
                <w:szCs w:val="18"/>
              </w:rPr>
              <w:t xml:space="preserve">  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i oblicza każdą z wielkości występujących w tym wzorze</w:t>
            </w:r>
          </w:p>
          <w:p w14:paraId="2EE30AD5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14:paraId="5723600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327AD6F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  <w:tc>
          <w:tcPr>
            <w:tcW w:w="2126" w:type="dxa"/>
          </w:tcPr>
          <w:p w14:paraId="24353A57" w14:textId="77777777" w:rsidR="00635A06" w:rsidRPr="006D1637" w:rsidRDefault="00635A06" w:rsidP="00635A06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rozwiązuje bezbłędnie zadania dotyczące ciśnienia o podwyższonym stopniu trudności </w:t>
            </w:r>
          </w:p>
        </w:tc>
      </w:tr>
      <w:tr w:rsidR="00635A06" w:rsidRPr="006D1637" w14:paraId="47744761" w14:textId="77777777" w:rsidTr="00635A06">
        <w:tc>
          <w:tcPr>
            <w:tcW w:w="1908" w:type="dxa"/>
            <w:tcMar>
              <w:left w:w="28" w:type="dxa"/>
              <w:right w:w="28" w:type="dxa"/>
            </w:tcMar>
          </w:tcPr>
          <w:p w14:paraId="49726EFF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4619052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14:paraId="48E68A52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4F5542A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14EA085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14E89A8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  <w:tc>
          <w:tcPr>
            <w:tcW w:w="2126" w:type="dxa"/>
          </w:tcPr>
          <w:p w14:paraId="6D03D7A2" w14:textId="77777777" w:rsidR="00635A06" w:rsidRPr="006D1637" w:rsidRDefault="00635A06" w:rsidP="00635A06">
            <w:pPr>
              <w:pStyle w:val="tabelakropka"/>
              <w:numPr>
                <w:ilvl w:val="0"/>
                <w:numId w:val="0"/>
              </w:numPr>
            </w:pPr>
          </w:p>
        </w:tc>
      </w:tr>
    </w:tbl>
    <w:p w14:paraId="52E332DF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71237EA8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85"/>
        <w:gridCol w:w="2785"/>
        <w:gridCol w:w="2785"/>
        <w:gridCol w:w="2127"/>
        <w:gridCol w:w="2127"/>
      </w:tblGrid>
      <w:tr w:rsidR="00635A06" w:rsidRPr="00C07D5E" w14:paraId="716660F9" w14:textId="77777777" w:rsidTr="000F7969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79BEF794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Zagadnienia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według programu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2E2CCF0B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080FB097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5CF6514B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70998C2D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4DA383B2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15002C7E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42B795AC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17F5AE4B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472C3FAC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07938DD1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42B446B8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1909D8BD" w14:textId="77777777" w:rsidR="00635A06" w:rsidRPr="00C07D5E" w:rsidRDefault="00635A06" w:rsidP="00635A06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29CC809C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256EB21F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22B413C0" w14:textId="77777777" w:rsidR="00635A06" w:rsidRPr="00C07D5E" w:rsidRDefault="00635A06" w:rsidP="00415EF9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635A06" w:rsidRPr="006D1637" w14:paraId="570C4CFB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7FA32172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0470F52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14:paraId="31238ED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C2B7D9C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14:paraId="6B7EA9A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53F5FA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14:paraId="1B4590C4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podaje przykłady zmian właściwości ciał spowodowanych zmianą temperatury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6CF75DC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14:paraId="6FE95DC6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BF6180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2D069326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0DF21F17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C9F6A08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14:paraId="2AB382FC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14:paraId="43B4BB5D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784B302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14:paraId="08D40D80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14:paraId="4A169CB3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0865784" w14:textId="77777777" w:rsidR="00635A06" w:rsidRPr="00B340A0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14:paraId="1CD850A7" w14:textId="77777777" w:rsidR="00635A06" w:rsidRPr="00B340A0" w:rsidRDefault="00635A06" w:rsidP="00FD6B7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</w:t>
            </w:r>
            <w:r>
              <w:rPr>
                <w:rFonts w:asciiTheme="minorHAnsi" w:hAnsiTheme="minorHAnsi"/>
                <w:szCs w:val="18"/>
              </w:rPr>
              <w:t>e zjawiska topnienia, wrzenia i skraplania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19AC726" w14:textId="77777777" w:rsidR="00635A06" w:rsidRPr="00B340A0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14:paraId="19D6C44A" w14:textId="77777777" w:rsidR="00635A06" w:rsidRPr="00B340A0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14:paraId="5F35094C" w14:textId="77777777" w:rsidR="00635A06" w:rsidRPr="00B340A0" w:rsidRDefault="00635A06" w:rsidP="00597EF6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>
              <w:t>odczas topnienia</w:t>
            </w:r>
          </w:p>
        </w:tc>
        <w:tc>
          <w:tcPr>
            <w:tcW w:w="2127" w:type="dxa"/>
          </w:tcPr>
          <w:p w14:paraId="10B28E37" w14:textId="77777777" w:rsidR="00635A06" w:rsidRPr="00B340A0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150A89C2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7047D100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2.3. Rozszerzalność temperaturowa ciał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E29CFAF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511289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14:paraId="2E4F15A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14:paraId="2AFE779E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F3FBAF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14:paraId="4AF49C60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51FF873" w14:textId="77777777" w:rsidR="00635A06" w:rsidRPr="00EF484B" w:rsidRDefault="00635A06" w:rsidP="00EF48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EF484B">
              <w:rPr>
                <w:spacing w:val="-4"/>
                <w:szCs w:val="18"/>
              </w:rPr>
              <w:t>∆</w:t>
            </w:r>
            <w:r w:rsidRPr="00EF484B">
              <w:rPr>
                <w:i/>
                <w:spacing w:val="-4"/>
                <w:szCs w:val="18"/>
              </w:rPr>
              <w:t>l</w:t>
            </w:r>
            <w:r>
              <w:rPr>
                <w:i/>
                <w:spacing w:val="-4"/>
                <w:szCs w:val="18"/>
              </w:rPr>
              <w:t xml:space="preserve"> </w:t>
            </w:r>
            <w:r w:rsidRPr="00EF484B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EF484B">
              <w:rPr>
                <w:spacing w:val="-4"/>
                <w:szCs w:val="18"/>
              </w:rPr>
              <w:t>∆</w:t>
            </w:r>
            <w:r>
              <w:rPr>
                <w:i/>
                <w:spacing w:val="-4"/>
                <w:szCs w:val="18"/>
              </w:rPr>
              <w:t>t</w:t>
            </w:r>
            <w:r w:rsidRPr="00EF484B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EF484B">
              <w:rPr>
                <w:spacing w:val="-4"/>
                <w:szCs w:val="18"/>
              </w:rPr>
              <w:t>∆</w:t>
            </w:r>
            <w:r>
              <w:rPr>
                <w:i/>
                <w:spacing w:val="-4"/>
                <w:szCs w:val="18"/>
              </w:rPr>
              <w:t xml:space="preserve">V </w:t>
            </w:r>
            <w:r w:rsidRPr="00EF484B">
              <w:rPr>
                <w:rFonts w:asciiTheme="minorHAnsi" w:hAnsiTheme="minorHAnsi"/>
                <w:spacing w:val="-4"/>
                <w:szCs w:val="18"/>
              </w:rPr>
              <w:t xml:space="preserve"> i  </w:t>
            </w:r>
            <w:r w:rsidRPr="00EF484B">
              <w:rPr>
                <w:spacing w:val="-4"/>
                <w:szCs w:val="18"/>
              </w:rPr>
              <w:t>∆</w:t>
            </w:r>
            <w:r>
              <w:rPr>
                <w:i/>
                <w:spacing w:val="-4"/>
                <w:szCs w:val="18"/>
              </w:rPr>
              <w:t>t</w:t>
            </w:r>
            <w:r w:rsidRPr="00EF484B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14:paraId="568B2AFE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  <w:tc>
          <w:tcPr>
            <w:tcW w:w="2127" w:type="dxa"/>
          </w:tcPr>
          <w:p w14:paraId="33FD3C99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50539897" w14:textId="77777777"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3211ACC7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85"/>
        <w:gridCol w:w="2785"/>
        <w:gridCol w:w="2785"/>
        <w:gridCol w:w="2127"/>
        <w:gridCol w:w="2127"/>
      </w:tblGrid>
      <w:tr w:rsidR="00635A06" w:rsidRPr="00C07D5E" w14:paraId="3B84325A" w14:textId="77777777" w:rsidTr="000F7969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6B1E128D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Zagadnienia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według programu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7BBA9744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404A0935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735019AE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62F629D6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18AFD9E0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2D4625C4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77239D4D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2C568FA8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0FD1DD1A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011BE359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25ED89F3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24D20719" w14:textId="77777777" w:rsidR="00635A06" w:rsidRPr="00C07D5E" w:rsidRDefault="00635A06" w:rsidP="00635A06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28670491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1326EC88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574CE1ED" w14:textId="77777777" w:rsidR="00635A06" w:rsidRPr="00C07D5E" w:rsidRDefault="00635A06" w:rsidP="00415EF9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635A06" w:rsidRPr="006D1637" w14:paraId="1FC11908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598C8268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E73B634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14:paraId="3821F4B5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9B59B80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14:paraId="171B2584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77AEC48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14:paraId="11C749E5" w14:textId="77777777" w:rsidR="00635A06" w:rsidRPr="006D1637" w:rsidRDefault="00635A06" w:rsidP="00597EF6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56A917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14:paraId="045B2959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384DE7C4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0BC70899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4DE9FEAE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3.2. Siły </w:t>
            </w:r>
            <w:proofErr w:type="spellStart"/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międzyczą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  <w:proofErr w:type="spellEnd"/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4DC2A9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D5A7A03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3077D7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14:paraId="5163FBF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14:paraId="03C5269F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3D67529E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3FD93B5C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5B31F17B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6DA196B1" w14:textId="77777777" w:rsidR="00635A06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gazów. </w:t>
            </w:r>
          </w:p>
          <w:p w14:paraId="6B1EFE95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F1984C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14:paraId="3106A5DF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14:paraId="671639F8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14:paraId="5ABAD6C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4CCD870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3C1D404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14:paraId="3DEF40F8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14:paraId="1E9C47AE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6C76B307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20BF0510" w14:textId="77777777" w:rsidR="00635A06" w:rsidRPr="006D1637" w:rsidRDefault="000F7969" w:rsidP="000F7969">
            <w:pPr>
              <w:pStyle w:val="tabelakropka"/>
            </w:pPr>
            <w:r>
              <w:t>rozwiązuje zadania problemowe dotyczące ciśnienia</w:t>
            </w:r>
          </w:p>
        </w:tc>
      </w:tr>
    </w:tbl>
    <w:p w14:paraId="2609DE24" w14:textId="77777777" w:rsidR="00625DDD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639BD87A" w14:textId="77777777" w:rsidR="00B85FE8" w:rsidRPr="00863671" w:rsidRDefault="00B85FE8" w:rsidP="00BD5A95">
      <w:pPr>
        <w:rPr>
          <w:b/>
          <w:spacing w:val="-4"/>
          <w:sz w:val="28"/>
          <w:szCs w:val="18"/>
        </w:rPr>
      </w:pPr>
      <w:r w:rsidRPr="00863671">
        <w:rPr>
          <w:b/>
          <w:spacing w:val="-4"/>
          <w:sz w:val="28"/>
          <w:szCs w:val="18"/>
        </w:rPr>
        <w:t xml:space="preserve">Wymagania z działu 4 będą obowiązywały w I </w:t>
      </w:r>
      <w:proofErr w:type="spellStart"/>
      <w:r w:rsidRPr="00863671">
        <w:rPr>
          <w:b/>
          <w:spacing w:val="-4"/>
          <w:sz w:val="28"/>
          <w:szCs w:val="18"/>
        </w:rPr>
        <w:t>i</w:t>
      </w:r>
      <w:proofErr w:type="spellEnd"/>
      <w:r w:rsidRPr="00863671">
        <w:rPr>
          <w:b/>
          <w:spacing w:val="-4"/>
          <w:sz w:val="28"/>
          <w:szCs w:val="18"/>
        </w:rPr>
        <w:t xml:space="preserve"> II okresie</w:t>
      </w:r>
    </w:p>
    <w:p w14:paraId="6CCCB282" w14:textId="77777777" w:rsidR="00B85FE8" w:rsidRPr="006D1637" w:rsidRDefault="00B85FE8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03E91E8A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  <w:r w:rsidR="00B85FE8">
        <w:rPr>
          <w:rFonts w:asciiTheme="minorHAnsi" w:hAnsiTheme="minorHAnsi"/>
          <w:spacing w:val="-4"/>
          <w:szCs w:val="22"/>
        </w:rPr>
        <w:t xml:space="preserve"> 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75"/>
        <w:gridCol w:w="2775"/>
        <w:gridCol w:w="2776"/>
        <w:gridCol w:w="2127"/>
        <w:gridCol w:w="2127"/>
      </w:tblGrid>
      <w:tr w:rsidR="00635A06" w:rsidRPr="00C07D5E" w14:paraId="5BC5132E" w14:textId="77777777" w:rsidTr="000F7969">
        <w:tc>
          <w:tcPr>
            <w:tcW w:w="1908" w:type="dxa"/>
            <w:shd w:val="clear" w:color="auto" w:fill="auto"/>
            <w:tcMar>
              <w:left w:w="28" w:type="dxa"/>
              <w:right w:w="28" w:type="dxa"/>
            </w:tcMar>
          </w:tcPr>
          <w:p w14:paraId="21454A9C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lastRenderedPageBreak/>
              <w:t>Zagadnienia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według programu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7A4BF82B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4F7C7DFC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75FA09D4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14580FB1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115EAE94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785C1CDC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76" w:type="dxa"/>
            <w:shd w:val="clear" w:color="auto" w:fill="auto"/>
            <w:tcMar>
              <w:left w:w="28" w:type="dxa"/>
              <w:right w:w="28" w:type="dxa"/>
            </w:tcMar>
          </w:tcPr>
          <w:p w14:paraId="00CC0D80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2F2E986E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299A7EE4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2702C862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30CE27BD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6FD74E78" w14:textId="77777777" w:rsidR="00635A06" w:rsidRPr="00C07D5E" w:rsidRDefault="00635A06" w:rsidP="00635A06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31EA3AC2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01DCE897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12D3A09B" w14:textId="77777777" w:rsidR="00635A06" w:rsidRPr="00C07D5E" w:rsidRDefault="00635A06" w:rsidP="00415EF9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635A06" w:rsidRPr="006D1637" w14:paraId="4C1CF5D4" w14:textId="77777777" w:rsidTr="000F7969">
        <w:tc>
          <w:tcPr>
            <w:tcW w:w="1908" w:type="dxa"/>
            <w:tcMar>
              <w:left w:w="28" w:type="dxa"/>
              <w:right w:w="28" w:type="dxa"/>
            </w:tcMar>
          </w:tcPr>
          <w:p w14:paraId="327DB762" w14:textId="77777777" w:rsidR="00635A06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4.1, 4.2. Układ odniesienia. </w:t>
            </w:r>
          </w:p>
          <w:p w14:paraId="1BF1051E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085E1390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14:paraId="1C212F9D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14:paraId="402C6BA2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0329F847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7C2667C6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14:paraId="686808AC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14:paraId="7A21950F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14:paraId="756053D6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14:paraId="0B7D2E75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5C6BFFC4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363FE40F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10F1C1CC" w14:textId="77777777" w:rsidTr="000F7969">
        <w:tc>
          <w:tcPr>
            <w:tcW w:w="1908" w:type="dxa"/>
            <w:tcMar>
              <w:left w:w="28" w:type="dxa"/>
              <w:right w:w="28" w:type="dxa"/>
            </w:tcMar>
          </w:tcPr>
          <w:p w14:paraId="0E0FB2D1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0B4BA584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ruchu prostoliniowego jednostajnego </w:t>
            </w:r>
          </w:p>
          <w:p w14:paraId="70196529" w14:textId="2A3A4EEF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="00AA6017" w:rsidRPr="00AA6017">
              <w:rPr>
                <w:rFonts w:asciiTheme="minorHAnsi" w:hAnsiTheme="minorHAnsi"/>
                <w:i/>
                <w:iCs/>
                <w:szCs w:val="18"/>
              </w:rPr>
              <w:t>s(t)</w: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</w:t>
            </w:r>
            <w:proofErr w:type="spellStart"/>
            <w:r w:rsidRPr="006D1637">
              <w:rPr>
                <w:rFonts w:asciiTheme="minorHAnsi" w:hAnsiTheme="minorHAnsi"/>
                <w:szCs w:val="18"/>
              </w:rPr>
              <w:t>przebywaną</w:t>
            </w:r>
            <w:proofErr w:type="spellEnd"/>
            <w:r w:rsidRPr="006D1637">
              <w:rPr>
                <w:rFonts w:asciiTheme="minorHAnsi" w:hAnsiTheme="minorHAnsi"/>
                <w:szCs w:val="18"/>
              </w:rPr>
              <w:t xml:space="preserve"> przez ciało w różnych odstępach czasu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194AB62E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14:paraId="623BC5EB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2A24C5F4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Cs w:val="18"/>
                </w:rPr>
                <m:t>s~t</m:t>
              </m:r>
            </m:oMath>
          </w:p>
          <w:p w14:paraId="5FCAE599" w14:textId="7E8DF236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="00AA6017" w:rsidRPr="00AA6017">
              <w:rPr>
                <w:rFonts w:asciiTheme="minorHAnsi" w:hAnsiTheme="minorHAnsi"/>
                <w:i/>
                <w:iCs/>
                <w:szCs w:val="18"/>
              </w:rPr>
              <w:t>s(t)</w:t>
            </w:r>
            <w:r w:rsidR="00AA6017" w:rsidRPr="006D1637">
              <w:rPr>
                <w:rFonts w:asciiTheme="minorHAnsi" w:hAnsiTheme="minorHAnsi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na podstawie wyników doświadczenia zgromadzonych w tabeli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5D7151F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  <w:tc>
          <w:tcPr>
            <w:tcW w:w="2127" w:type="dxa"/>
          </w:tcPr>
          <w:p w14:paraId="27520760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005C81EA" w14:textId="77777777" w:rsidTr="000F7969">
        <w:tc>
          <w:tcPr>
            <w:tcW w:w="1908" w:type="dxa"/>
            <w:tcMar>
              <w:left w:w="28" w:type="dxa"/>
              <w:right w:w="28" w:type="dxa"/>
            </w:tcMar>
          </w:tcPr>
          <w:p w14:paraId="25A4735F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30EAC932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nazywa występujące w nim wielkości </w:t>
            </w:r>
          </w:p>
          <w:p w14:paraId="3A355A28" w14:textId="77777777" w:rsidR="00635A06" w:rsidRPr="00823D36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wartość prędkości ze wzoru</w:t>
            </w:r>
          </w:p>
          <w:p w14:paraId="2BD085F3" w14:textId="77777777" w:rsidR="00635A06" w:rsidRPr="006D1637" w:rsidRDefault="00635A06" w:rsidP="00823D36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9AF97D0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05FECEA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5B10ABA4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14:paraId="29959C3B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6B973B41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14:paraId="23C912D1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  <w:tc>
          <w:tcPr>
            <w:tcW w:w="2127" w:type="dxa"/>
          </w:tcPr>
          <w:p w14:paraId="73E3AC79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165CB0B9" w14:textId="77777777" w:rsidTr="000F7969">
        <w:tc>
          <w:tcPr>
            <w:tcW w:w="1908" w:type="dxa"/>
            <w:tcMar>
              <w:left w:w="28" w:type="dxa"/>
              <w:right w:w="28" w:type="dxa"/>
            </w:tcMar>
          </w:tcPr>
          <w:p w14:paraId="77F0AD78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4.5. Prędkość w ruchu jednostajnym prostoliniowym</w:t>
            </w: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673BCF07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C82201F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uzasadnia potrzebę wprowadzenia do opisu ruchu wielkości wektorowej – prędkości </w:t>
            </w:r>
          </w:p>
          <w:p w14:paraId="27174AA3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przykładzie wymienia cechy prędkości jako wielkości wektorowej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43970EFB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prostoliniowy jednostajny z użyciem pojęcia prędkości </w:t>
            </w:r>
          </w:p>
          <w:p w14:paraId="15267CC4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08D2CEB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  <w:tc>
          <w:tcPr>
            <w:tcW w:w="2127" w:type="dxa"/>
          </w:tcPr>
          <w:p w14:paraId="4300F250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42871AF2" w14:textId="77777777" w:rsidTr="000F7969">
        <w:tc>
          <w:tcPr>
            <w:tcW w:w="1908" w:type="dxa"/>
            <w:tcMar>
              <w:left w:w="28" w:type="dxa"/>
              <w:right w:w="28" w:type="dxa"/>
            </w:tcMar>
          </w:tcPr>
          <w:p w14:paraId="7CF456FC" w14:textId="77777777" w:rsidR="00635A06" w:rsidRPr="006D1637" w:rsidRDefault="00635A06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44BA0113" w14:textId="77777777" w:rsidR="00635A06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średnią wartość prędkości</w:t>
            </w:r>
          </w:p>
          <w:p w14:paraId="2EC815BD" w14:textId="77777777" w:rsidR="00635A06" w:rsidRPr="006D1637" w:rsidRDefault="00635A06" w:rsidP="00823D36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4CF6B359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2F4B464F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14:paraId="75D50A88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pływania lub jazdy na rowerze </w:t>
            </w: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0901E857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14:paraId="293AF87F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różnicę między szybkością średnią i chwilową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565BDE07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1D618DBC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30B0C807" w14:textId="77777777" w:rsidTr="000F7969">
        <w:tc>
          <w:tcPr>
            <w:tcW w:w="1908" w:type="dxa"/>
            <w:tcMar>
              <w:left w:w="28" w:type="dxa"/>
              <w:right w:w="28" w:type="dxa"/>
            </w:tcMar>
          </w:tcPr>
          <w:p w14:paraId="542191DA" w14:textId="77777777" w:rsidR="00635A06" w:rsidRPr="006D1637" w:rsidRDefault="00635A06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lastRenderedPageBreak/>
              <w:t>4.7</w:t>
            </w:r>
            <w:r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>4.8. Ruch prostoliniowy jednostajnie przyspieszony.</w:t>
            </w:r>
          </w:p>
          <w:p w14:paraId="26E52D2A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41027D59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ruchu przyspieszonego i opóźnionego </w:t>
            </w:r>
          </w:p>
          <w:p w14:paraId="178F980D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określonych jednakowych odstępach czasu </w:t>
            </w:r>
          </w:p>
          <w:p w14:paraId="7AC8E098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075D1811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posługuje się pojęciem wartości przyspieszenia do opisu ruchu jednostajnie przyspieszonego 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1970E692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jednostajnie przyspieszony </w:t>
            </w:r>
          </w:p>
          <w:p w14:paraId="1B4A30D4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przyspieszenia </w:t>
            </w:r>
          </w:p>
          <w:p w14:paraId="083FFAED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198A1BA2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6252DEE8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203E47F2" w14:textId="31EE028B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="00AA6017" w:rsidRPr="00AA6017">
              <w:rPr>
                <w:rFonts w:asciiTheme="minorHAnsi" w:hAnsiTheme="minorHAnsi"/>
                <w:i/>
                <w:iCs/>
                <w:szCs w:val="18"/>
              </w:rPr>
              <w:t>a(t)</w: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105AC457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  <w:r>
              <w:rPr>
                <w:rFonts w:asciiTheme="minorHAnsi" w:hAnsiTheme="minorHAnsi"/>
                <w:szCs w:val="18"/>
              </w:rPr>
              <w:t>(bez oporów ruchu)</w:t>
            </w:r>
          </w:p>
          <w:p w14:paraId="052B04A4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E5DC28C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wielkość z tego wzoru </w:t>
            </w:r>
          </w:p>
          <w:p w14:paraId="4DFD4CD3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</w:t>
            </w:r>
          </w:p>
          <w:p w14:paraId="09791DF0" w14:textId="77777777" w:rsidR="00635A06" w:rsidRPr="006D1637" w:rsidRDefault="00635A06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</w:tc>
        <w:tc>
          <w:tcPr>
            <w:tcW w:w="2127" w:type="dxa"/>
          </w:tcPr>
          <w:p w14:paraId="067E2727" w14:textId="77777777" w:rsidR="00635A06" w:rsidRPr="006D1637" w:rsidRDefault="000F7969" w:rsidP="00BD5A95">
            <w:pPr>
              <w:pStyle w:val="tabelakropka"/>
              <w:spacing w:before="0" w:after="0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</w:t>
            </w:r>
            <w:r>
              <w:rPr>
                <w:rFonts w:asciiTheme="minorHAnsi" w:hAnsiTheme="minorHAnsi"/>
                <w:szCs w:val="18"/>
              </w:rPr>
              <w:t xml:space="preserve">bezbłędnie </w:t>
            </w:r>
            <w:r w:rsidRPr="006D1637">
              <w:rPr>
                <w:rFonts w:asciiTheme="minorHAnsi" w:hAnsiTheme="minorHAnsi"/>
                <w:szCs w:val="18"/>
              </w:rPr>
              <w:t>zadania obliczeniowe dotyczące ruchu jednostajnie przyspieszonego</w:t>
            </w:r>
            <w:r>
              <w:rPr>
                <w:rFonts w:asciiTheme="minorHAnsi" w:hAnsiTheme="minorHAnsi"/>
                <w:szCs w:val="18"/>
              </w:rPr>
              <w:t xml:space="preserve"> i opóźnionego</w:t>
            </w:r>
          </w:p>
        </w:tc>
      </w:tr>
      <w:tr w:rsidR="00635A06" w:rsidRPr="006D1637" w14:paraId="5ACB5193" w14:textId="77777777" w:rsidTr="000F7969">
        <w:tc>
          <w:tcPr>
            <w:tcW w:w="1908" w:type="dxa"/>
            <w:tcMar>
              <w:left w:w="28" w:type="dxa"/>
              <w:right w:w="28" w:type="dxa"/>
            </w:tcMar>
          </w:tcPr>
          <w:p w14:paraId="08F68B9D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4.10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</w:tcPr>
          <w:p w14:paraId="7556BC0E" w14:textId="77777777" w:rsidR="00635A06" w:rsidRDefault="00635A06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wzór na wartość przyspieszenia w ruchu jednostajnie opóźnionym</w:t>
            </w:r>
          </w:p>
          <w:p w14:paraId="1B7963DE" w14:textId="77777777" w:rsidR="00635A06" w:rsidRPr="006D1637" w:rsidRDefault="00635A06" w:rsidP="00823D36">
            <w:pPr>
              <w:pStyle w:val="tabelakropka"/>
              <w:numPr>
                <w:ilvl w:val="0"/>
                <w:numId w:val="0"/>
              </w:numPr>
              <w:ind w:left="170"/>
              <w:rPr>
                <w:rFonts w:asciiTheme="minorHAnsi" w:hAnsiTheme="minorHAnsi"/>
                <w:szCs w:val="18"/>
              </w:rPr>
            </w:pP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14:paraId="1AF8FC04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określonych jednakowych odstępach czasu  </w:t>
            </w:r>
          </w:p>
          <w:p w14:paraId="5CE8DA0D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  <w:tcMar>
              <w:left w:w="28" w:type="dxa"/>
              <w:right w:w="28" w:type="dxa"/>
            </w:tcMar>
          </w:tcPr>
          <w:p w14:paraId="6C021231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776" w:type="dxa"/>
            <w:tcMar>
              <w:left w:w="28" w:type="dxa"/>
              <w:right w:w="28" w:type="dxa"/>
            </w:tcMar>
          </w:tcPr>
          <w:p w14:paraId="2680CA1A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opóźnionego </w:t>
            </w:r>
          </w:p>
          <w:p w14:paraId="35D61B4B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tym wzorze </w:t>
            </w:r>
          </w:p>
          <w:p w14:paraId="71E1C989" w14:textId="77777777" w:rsidR="00635A06" w:rsidRPr="006D1637" w:rsidRDefault="00635A06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DFD7CEF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14:paraId="00AED9E2" w14:textId="77777777" w:rsidR="00635A06" w:rsidRPr="006D1637" w:rsidRDefault="000F7969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fizyczną pojęcia przyspieszenia w ruchu jednostajnie opóźnionym</w:t>
            </w:r>
          </w:p>
        </w:tc>
        <w:tc>
          <w:tcPr>
            <w:tcW w:w="2127" w:type="dxa"/>
          </w:tcPr>
          <w:p w14:paraId="4EE96CB9" w14:textId="77777777" w:rsidR="000F7969" w:rsidRPr="006D1637" w:rsidRDefault="000F7969" w:rsidP="000F796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</w:t>
            </w:r>
            <w:r>
              <w:rPr>
                <w:rFonts w:asciiTheme="minorHAnsi" w:hAnsiTheme="minorHAnsi"/>
                <w:szCs w:val="18"/>
              </w:rPr>
              <w:t xml:space="preserve">bezbłędnie </w:t>
            </w:r>
            <w:r w:rsidRPr="006D1637">
              <w:rPr>
                <w:rFonts w:asciiTheme="minorHAnsi" w:hAnsiTheme="minorHAnsi"/>
                <w:szCs w:val="18"/>
              </w:rPr>
              <w:t xml:space="preserve">zadania obliczeniowe dotyczące ruchu jednostajnie przyspieszonego </w:t>
            </w:r>
            <w:r>
              <w:rPr>
                <w:rFonts w:asciiTheme="minorHAnsi" w:hAnsiTheme="minorHAnsi"/>
                <w:szCs w:val="18"/>
              </w:rPr>
              <w:t>o podwyższonym stopniu trudności</w:t>
            </w:r>
          </w:p>
          <w:p w14:paraId="6BFCC2D5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</w:tbl>
    <w:p w14:paraId="45055955" w14:textId="77777777" w:rsidR="00625DDD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7940DF0D" w14:textId="77777777" w:rsidR="00B85FE8" w:rsidRPr="00863671" w:rsidRDefault="00B85FE8" w:rsidP="00BD5A95">
      <w:pPr>
        <w:rPr>
          <w:b/>
          <w:spacing w:val="-4"/>
          <w:sz w:val="28"/>
          <w:szCs w:val="18"/>
        </w:rPr>
      </w:pPr>
      <w:r w:rsidRPr="00863671">
        <w:rPr>
          <w:b/>
          <w:spacing w:val="-4"/>
          <w:sz w:val="28"/>
          <w:szCs w:val="18"/>
        </w:rPr>
        <w:t>II okres</w:t>
      </w:r>
    </w:p>
    <w:p w14:paraId="48B9F95F" w14:textId="77777777" w:rsidR="00B85FE8" w:rsidRPr="00B85FE8" w:rsidRDefault="00B85FE8" w:rsidP="00BD5A95">
      <w:pPr>
        <w:rPr>
          <w:b/>
          <w:spacing w:val="-4"/>
          <w:szCs w:val="18"/>
        </w:rPr>
      </w:pPr>
    </w:p>
    <w:p w14:paraId="21A090E6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85"/>
        <w:gridCol w:w="2785"/>
        <w:gridCol w:w="2785"/>
        <w:gridCol w:w="2127"/>
        <w:gridCol w:w="2127"/>
      </w:tblGrid>
      <w:tr w:rsidR="00635A06" w:rsidRPr="00C07D5E" w14:paraId="7F54B2B5" w14:textId="77777777" w:rsidTr="000F7969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27E383CD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Zagadnienia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według programu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5E440472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726B735C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1F358A7B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640E667A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177E2F57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5EEAC7FD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70071544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5AC7C22B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3C70DE30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5108A6DC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53F63471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2746A9D2" w14:textId="77777777" w:rsidR="00635A06" w:rsidRPr="00C07D5E" w:rsidRDefault="00635A06" w:rsidP="00635A06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5CED9DCD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22CBAA60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7A53E3BD" w14:textId="77777777" w:rsidR="00635A06" w:rsidRPr="00C07D5E" w:rsidRDefault="00635A06" w:rsidP="00415EF9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635A06" w:rsidRPr="006D1637" w14:paraId="426E5A12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6F58BD11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A5A23FF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14:paraId="2F23B9FD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8A2FC46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14:paraId="6FB4C957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59D0C7D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14:paraId="74F4D0E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6EFE2DCA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282F8782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52250451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1E824832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5.2. </w:t>
            </w:r>
            <w:r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7186FF9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14:paraId="4F8C53B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zwrotach zgodnych i przeciwnych 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5574460E" w14:textId="77777777" w:rsidR="00635A06" w:rsidRPr="006D1637" w:rsidRDefault="00635A06" w:rsidP="00FF4BA2">
            <w:pPr>
              <w:pStyle w:val="tabelakropka"/>
              <w:rPr>
                <w:spacing w:val="-4"/>
              </w:rPr>
            </w:pPr>
            <w:r w:rsidRPr="006D1637">
              <w:t>oblicza wartość i określa zwrot wypadkowej dwóch sił działających na ciało wzdłuż jednej prostej – o zwrotach zgodnych i przeciwnych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8B0783A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kilku sił działających na ciało wzdłuż jednej prostej, które się równoważą </w:t>
            </w:r>
          </w:p>
          <w:p w14:paraId="55012D8C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ciało wzdłuż jednej prostej – o zwrotach zgodnych i przeciwnych </w:t>
            </w:r>
          </w:p>
          <w:p w14:paraId="293D43F4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E64B74A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niepewności pomiarowe sumy i różnicy wartości dwóch sił </w:t>
            </w:r>
          </w:p>
        </w:tc>
        <w:tc>
          <w:tcPr>
            <w:tcW w:w="2127" w:type="dxa"/>
          </w:tcPr>
          <w:p w14:paraId="68D86EF1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599B0B1D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71237F6C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5.3. Pierwsza zasada dynamiki Newtona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9DC56EE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14:paraId="14FFDCAD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6C1A833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E5E6DB7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14:paraId="47A3E05E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przykładzie opisuje zjawisko bezwładności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74E35CA6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16638BA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35A06" w:rsidRPr="006D1637" w14:paraId="2641C8B3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2C0645AE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 Newtona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7ABFE81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C4F499E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14:paraId="38C8196D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F843B25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 xml:space="preserve">na </w:t>
            </w:r>
          </w:p>
          <w:p w14:paraId="3EDDDE65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14:paraId="60A9AE84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898F862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odrzutu </w:t>
            </w:r>
          </w:p>
        </w:tc>
        <w:tc>
          <w:tcPr>
            <w:tcW w:w="2127" w:type="dxa"/>
          </w:tcPr>
          <w:p w14:paraId="4F7DC029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76F437C2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44BD52C5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E1D1DF1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14:paraId="2E12803E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6CE8E43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14:paraId="0D345B9D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spoczynek ciężarka wiszącego na sprężynie na podstawie pierwszej zasady dynamiki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2CAB3D26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14:paraId="4055AD9A" w14:textId="77777777" w:rsidR="00635A06" w:rsidRPr="006D1637" w:rsidRDefault="00635A06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1F1BBC5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  <w:tc>
          <w:tcPr>
            <w:tcW w:w="2127" w:type="dxa"/>
          </w:tcPr>
          <w:p w14:paraId="21BD51B4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0FA9C202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120C17B9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siła tarcia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4F6CCA0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14:paraId="3B150DB6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niektóre sposoby zmniejszania i zwiększania tarcia </w:t>
            </w:r>
          </w:p>
          <w:p w14:paraId="31BBD510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pożytecznych i szkodliwych skutków działania sił tarcia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DE98767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świadczące o tym, że wartość siły oporu powietrza wzrasta wraz ze wzrostem szybkości ciała </w:t>
            </w:r>
          </w:p>
          <w:p w14:paraId="52FC43EC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przesuwaniu jednego ciała po drugim </w:t>
            </w:r>
          </w:p>
          <w:p w14:paraId="32C695D8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76F4289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doświadczalnie bada siłę oporu powietrza i formułuje wnioski </w:t>
            </w:r>
          </w:p>
          <w:p w14:paraId="525824AF" w14:textId="77777777" w:rsidR="00635A06" w:rsidRPr="006D1637" w:rsidRDefault="00635A06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14:paraId="1A844024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E9D7480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wartość siły tarcia kinetycznego nie zależy od pola powierzchni styku ciał przesuwających się względem siebie,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a</w:t>
            </w:r>
            <w:r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 xml:space="preserve">zależy od rodzaju powierzchni ciał trących o siebie i wartości siły dociskającej te ciała do siebie </w:t>
            </w:r>
          </w:p>
          <w:p w14:paraId="598B4105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4E4A3395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1B868E33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7E848942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3D92B492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14:paraId="402607CD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E06173F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prawo Pascala </w:t>
            </w:r>
          </w:p>
          <w:p w14:paraId="1AB68236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6AE1F8A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14:paraId="40FCEDBD" w14:textId="77777777" w:rsidR="00635A06" w:rsidRPr="006D1637" w:rsidRDefault="00635A06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239481F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14:paraId="2A90ACA6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  <w:tc>
          <w:tcPr>
            <w:tcW w:w="2127" w:type="dxa"/>
          </w:tcPr>
          <w:p w14:paraId="0B3C188D" w14:textId="77777777" w:rsidR="00635A06" w:rsidRPr="006D1637" w:rsidRDefault="000F7969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wykorzystuje wzór na ciśnienie hydrostatyczne w zadaniach obliczeniowych</w:t>
            </w:r>
            <w:r>
              <w:rPr>
                <w:rFonts w:asciiTheme="minorHAnsi" w:hAnsiTheme="minorHAnsi"/>
                <w:szCs w:val="18"/>
              </w:rPr>
              <w:t xml:space="preserve"> o podwyższonym stopniu trudności</w:t>
            </w:r>
          </w:p>
        </w:tc>
      </w:tr>
      <w:tr w:rsidR="00635A06" w:rsidRPr="006D1637" w14:paraId="4310E9FF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1409FE1E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E66723B" w14:textId="77777777" w:rsidR="00635A06" w:rsidRPr="00FF4BA2" w:rsidRDefault="00635A06" w:rsidP="00FF4BA2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 objaśn</w:t>
            </w:r>
            <w:r>
              <w:rPr>
                <w:rFonts w:asciiTheme="minorHAnsi" w:hAnsiTheme="minorHAnsi"/>
                <w:szCs w:val="18"/>
              </w:rPr>
              <w:t xml:space="preserve">ia wzór na wartość siły wyporu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B391727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demonstruje i objaśnia prawo</w:t>
            </w:r>
            <w:r w:rsidRPr="006D1637">
              <w:rPr>
                <w:rFonts w:asciiTheme="minorHAnsi" w:hAnsiTheme="minorHAnsi"/>
                <w:szCs w:val="18"/>
              </w:rPr>
              <w:t xml:space="preserve"> Archimedesa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83A0536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pływanie i tonięcie ciał wykorzystując pierwszą zasadę dynamiki </w:t>
            </w:r>
          </w:p>
          <w:p w14:paraId="64E6E4D9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8E638F8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wartość siły wyporu do wykonywania obliczeń </w:t>
            </w:r>
          </w:p>
          <w:p w14:paraId="0324374C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  <w:tc>
          <w:tcPr>
            <w:tcW w:w="2127" w:type="dxa"/>
          </w:tcPr>
          <w:p w14:paraId="1F6A10BD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0" w:after="0"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060C0A00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7AEDA31D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 Newtona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9979AAE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ciała pod działaniem stałej siły wypadkowej zwróconej tak samo jak prędkość </w:t>
            </w:r>
          </w:p>
          <w:p w14:paraId="1815C487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dynamiki i odczytuje ten zapis</w:t>
            </w:r>
          </w:p>
          <w:p w14:paraId="1621352E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301D9CA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drugą zasadę dynamiki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490CD713" w14:textId="77777777" w:rsidR="00635A06" w:rsidRDefault="00635A06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 </w:t>
            </w:r>
          </w:p>
          <w:p w14:paraId="0CA3D2B1" w14:textId="77777777" w:rsidR="00635A06" w:rsidRPr="00823D36" w:rsidRDefault="00635A06" w:rsidP="00823D36">
            <w:pPr>
              <w:pStyle w:val="tabelakropka"/>
              <w:numPr>
                <w:ilvl w:val="0"/>
                <w:numId w:val="0"/>
              </w:numPr>
              <w:spacing w:before="0" w:after="0" w:line="200" w:lineRule="exact"/>
              <w:ind w:left="170"/>
              <w:rPr>
                <w:szCs w:val="18"/>
              </w:rPr>
            </w:pPr>
            <w:r w:rsidRPr="00823D36">
              <w:rPr>
                <w:i/>
                <w:szCs w:val="18"/>
              </w:rPr>
              <w:t>F = ma</w:t>
            </w:r>
          </w:p>
          <w:p w14:paraId="03D67B2A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a(F) oblicza masę ciała </w:t>
            </w:r>
          </w:p>
          <w:p w14:paraId="563FA9D6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3635DB1" w14:textId="77777777" w:rsidR="00635A06" w:rsidRPr="006D1637" w:rsidRDefault="00635A06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m:oMath>
              <m:r>
                <w:rPr>
                  <w:rFonts w:ascii="Cambria Math" w:hAnsi="Cambria Math"/>
                  <w:szCs w:val="18"/>
                </w:rPr>
                <m:t>1N=1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kg∙m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</w:p>
          <w:p w14:paraId="760E3F2A" w14:textId="0B37F04F" w:rsidR="00635A06" w:rsidRPr="00AA6017" w:rsidRDefault="00635A06" w:rsidP="00AA6017">
            <w:pPr>
              <w:pStyle w:val="tabelakropka"/>
              <w:numPr>
                <w:ilvl w:val="0"/>
                <w:numId w:val="0"/>
              </w:numPr>
              <w:spacing w:before="0" w:after="0" w:line="200" w:lineRule="exact"/>
              <w:ind w:left="170"/>
              <w:rPr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="00AA6017" w:rsidRPr="00823D36">
              <w:rPr>
                <w:i/>
                <w:szCs w:val="18"/>
              </w:rPr>
              <w:t>F = ma</w:t>
            </w:r>
            <w:r w:rsidR="00AA6017">
              <w:rPr>
                <w:i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i</w:t>
            </w:r>
            <w:r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 jakim ciała spadają swobodnie </w:t>
            </w:r>
          </w:p>
        </w:tc>
        <w:tc>
          <w:tcPr>
            <w:tcW w:w="2127" w:type="dxa"/>
          </w:tcPr>
          <w:p w14:paraId="1B9A35BB" w14:textId="77777777" w:rsidR="00635A06" w:rsidRPr="006D1637" w:rsidRDefault="000F7969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wykorzystuje prawo Archimedesa w zadaniach rachunkowych i problemowych</w:t>
            </w:r>
          </w:p>
        </w:tc>
      </w:tr>
    </w:tbl>
    <w:p w14:paraId="16E844EB" w14:textId="77777777"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67A8B792" w14:textId="77777777"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2785"/>
        <w:gridCol w:w="2785"/>
        <w:gridCol w:w="2785"/>
        <w:gridCol w:w="2127"/>
        <w:gridCol w:w="2127"/>
      </w:tblGrid>
      <w:tr w:rsidR="00635A06" w:rsidRPr="00C07D5E" w14:paraId="6341F330" w14:textId="77777777" w:rsidTr="000F7969">
        <w:tc>
          <w:tcPr>
            <w:tcW w:w="1908" w:type="dxa"/>
            <w:shd w:val="clear" w:color="auto" w:fill="auto"/>
            <w:tcMar>
              <w:left w:w="57" w:type="dxa"/>
              <w:right w:w="57" w:type="dxa"/>
            </w:tcMar>
          </w:tcPr>
          <w:p w14:paraId="4E9751D3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Zagadnienia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według programu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1E2AFA2D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konieczne </w:t>
            </w:r>
          </w:p>
          <w:p w14:paraId="71CC40C0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(dopuszczająca)</w:t>
            </w:r>
          </w:p>
          <w:p w14:paraId="43DCECA0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0D6E9F1A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podstawowe </w:t>
            </w:r>
          </w:p>
          <w:p w14:paraId="67DA6E47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(dostateczna)</w:t>
            </w:r>
          </w:p>
          <w:p w14:paraId="41C57EB9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509B4C62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rozszerzone </w:t>
            </w:r>
          </w:p>
          <w:p w14:paraId="70CE28E2" w14:textId="77777777" w:rsidR="00635A06" w:rsidRPr="00C07D5E" w:rsidRDefault="00635A06" w:rsidP="00BD5A95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(dobra)</w:t>
            </w:r>
          </w:p>
          <w:p w14:paraId="30036BC6" w14:textId="77777777" w:rsidR="00635A06" w:rsidRPr="00C07D5E" w:rsidRDefault="00635A06" w:rsidP="00BD5A95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0E4A6692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Wymagania dopełniające</w:t>
            </w:r>
          </w:p>
          <w:p w14:paraId="574DA822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(bardzo dobra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)</w:t>
            </w:r>
          </w:p>
          <w:p w14:paraId="593809ED" w14:textId="77777777" w:rsidR="00635A06" w:rsidRPr="00C07D5E" w:rsidRDefault="00635A06" w:rsidP="00635A06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127" w:type="dxa"/>
          </w:tcPr>
          <w:p w14:paraId="55E1A050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Wymagania 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dopełniające</w:t>
            </w:r>
          </w:p>
          <w:p w14:paraId="4BD00763" w14:textId="77777777" w:rsidR="00635A06" w:rsidRPr="00C07D5E" w:rsidRDefault="00635A06" w:rsidP="00635A06">
            <w:pPr>
              <w:jc w:val="center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(</w:t>
            </w: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celująca)</w:t>
            </w:r>
          </w:p>
          <w:p w14:paraId="06B83124" w14:textId="77777777" w:rsidR="00635A06" w:rsidRPr="00C07D5E" w:rsidRDefault="00635A06" w:rsidP="00415EF9">
            <w:pPr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C07D5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Uczeń:</w:t>
            </w:r>
          </w:p>
        </w:tc>
      </w:tr>
      <w:tr w:rsidR="00635A06" w:rsidRPr="006D1637" w14:paraId="2A949D51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741B72B8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C0CE777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14:paraId="7618AC59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14:paraId="2B98D6A8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wyjaśnia, co to znaczy, że urządzenia pracują z różną mocą </w:t>
            </w:r>
          </w:p>
          <w:p w14:paraId="216FBC7B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69E7F2B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pracę ze wzoru </w:t>
            </w:r>
            <w:r w:rsidRPr="00823D36">
              <w:rPr>
                <w:i/>
                <w:szCs w:val="18"/>
              </w:rPr>
              <w:t xml:space="preserve">W = </w:t>
            </w:r>
            <w:proofErr w:type="spellStart"/>
            <w:r w:rsidRPr="00823D36">
              <w:rPr>
                <w:i/>
                <w:szCs w:val="18"/>
              </w:rPr>
              <w:t>F</w:t>
            </w:r>
            <w:r>
              <w:rPr>
                <w:i/>
                <w:szCs w:val="18"/>
              </w:rPr>
              <w:t>s</w:t>
            </w:r>
            <w:proofErr w:type="spellEnd"/>
          </w:p>
          <w:p w14:paraId="19816F36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 </w:t>
            </w:r>
            <m:oMath>
              <m:r>
                <w:rPr>
                  <w:rFonts w:ascii="Cambria Math" w:hAnsi="Cambria Math"/>
                  <w:szCs w:val="18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  <w:p w14:paraId="15943540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1CB886D" w14:textId="77777777" w:rsidR="00635A06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każdą z wielkości we wzorze</w:t>
            </w:r>
          </w:p>
          <w:p w14:paraId="283DB5EF" w14:textId="77777777" w:rsidR="00635A06" w:rsidRPr="00823D36" w:rsidRDefault="00635A06" w:rsidP="00823D36">
            <w:pPr>
              <w:pStyle w:val="tabelakropka"/>
              <w:numPr>
                <w:ilvl w:val="0"/>
                <w:numId w:val="0"/>
              </w:numPr>
              <w:spacing w:before="0" w:line="252" w:lineRule="auto"/>
              <w:ind w:left="170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w:r w:rsidRPr="00823D36">
              <w:rPr>
                <w:i/>
                <w:szCs w:val="18"/>
              </w:rPr>
              <w:t xml:space="preserve">W = </w:t>
            </w:r>
            <w:proofErr w:type="spellStart"/>
            <w:r w:rsidRPr="00823D36">
              <w:rPr>
                <w:i/>
                <w:szCs w:val="18"/>
              </w:rPr>
              <w:t>F</w:t>
            </w:r>
            <w:r>
              <w:rPr>
                <w:i/>
                <w:szCs w:val="18"/>
              </w:rPr>
              <w:t>s</w:t>
            </w:r>
            <w:proofErr w:type="spellEnd"/>
          </w:p>
          <w:p w14:paraId="627960DF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objaśnia sens fizyczny pojęcia mocy </w:t>
            </w:r>
          </w:p>
          <w:p w14:paraId="65863D0D" w14:textId="77777777" w:rsidR="00635A06" w:rsidRPr="00823D36" w:rsidRDefault="00635A06" w:rsidP="00823D36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każdą z wielkości ze wzoru</w:t>
            </w:r>
          </w:p>
          <w:p w14:paraId="69E10718" w14:textId="77777777" w:rsidR="00635A06" w:rsidRPr="006D1637" w:rsidRDefault="00635A06" w:rsidP="00823D36">
            <w:pPr>
              <w:pStyle w:val="tabelakropka"/>
              <w:numPr>
                <w:ilvl w:val="0"/>
                <w:numId w:val="0"/>
              </w:numPr>
              <w:spacing w:before="0" w:line="252" w:lineRule="auto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Cs w:val="18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8DA08B8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ograniczenia stosowalności wzoru </w:t>
            </w:r>
            <w:r w:rsidRPr="00823D36">
              <w:rPr>
                <w:i/>
                <w:szCs w:val="18"/>
              </w:rPr>
              <w:t xml:space="preserve">W = </w:t>
            </w:r>
            <w:proofErr w:type="spellStart"/>
            <w:r w:rsidRPr="00823D36">
              <w:rPr>
                <w:i/>
                <w:szCs w:val="18"/>
              </w:rPr>
              <w:t>F</w:t>
            </w:r>
            <w:r>
              <w:rPr>
                <w:i/>
                <w:szCs w:val="18"/>
              </w:rPr>
              <w:t>s</w:t>
            </w:r>
            <w:proofErr w:type="spellEnd"/>
          </w:p>
          <w:p w14:paraId="5F8D755A" w14:textId="77777777" w:rsidR="00635A06" w:rsidRPr="006D1637" w:rsidRDefault="00635A06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823D36">
              <w:rPr>
                <w:i/>
                <w:szCs w:val="18"/>
              </w:rPr>
              <w:t>W(s)</w:t>
            </w:r>
            <w:r w:rsidRPr="006D1637">
              <w:rPr>
                <w:rFonts w:asciiTheme="minorHAnsi" w:hAnsiTheme="minorHAnsi"/>
                <w:szCs w:val="18"/>
              </w:rPr>
              <w:t xml:space="preserve"> oraz </w:t>
            </w:r>
            <w:r w:rsidRPr="00823D36">
              <w:rPr>
                <w:i/>
                <w:szCs w:val="18"/>
              </w:rPr>
              <w:lastRenderedPageBreak/>
              <w:t>F(s)</w:t>
            </w:r>
            <w:r w:rsidRPr="006D1637">
              <w:rPr>
                <w:rFonts w:asciiTheme="minorHAnsi" w:hAnsiTheme="minorHAnsi"/>
                <w:szCs w:val="18"/>
              </w:rPr>
              <w:t xml:space="preserve">, odczytuje i oblicza pracę na podstawie tych wykresów </w:t>
            </w:r>
          </w:p>
          <w:p w14:paraId="50DBD6EF" w14:textId="77777777" w:rsidR="00635A06" w:rsidRPr="006D1637" w:rsidRDefault="00635A06" w:rsidP="00823D36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823D36">
              <w:rPr>
                <w:i/>
                <w:szCs w:val="18"/>
              </w:rPr>
              <w:t>W(t)</w:t>
            </w:r>
          </w:p>
        </w:tc>
        <w:tc>
          <w:tcPr>
            <w:tcW w:w="2127" w:type="dxa"/>
          </w:tcPr>
          <w:p w14:paraId="1CD1757A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0"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2B983239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2263F7A8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6.3.  Energia mechaniczna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020A997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14:paraId="30170396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7DF16389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14:paraId="30847B00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mechanicznej na skutek wykonanej pracy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656F8F22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pojęcia układu ciał wzajemnie oddziałujących oraz sił wewnętrznych w układzie i zewnętrznych spoza układu </w:t>
            </w:r>
          </w:p>
          <w:p w14:paraId="03D2E6EB" w14:textId="77777777" w:rsidR="00635A06" w:rsidRPr="006D1637" w:rsidRDefault="00635A06" w:rsidP="00823D36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m:oMath>
              <m:r>
                <w:rPr>
                  <w:rFonts w:ascii="Cambria Math" w:hAnsi="Cambria Math"/>
                  <w:szCs w:val="18"/>
                </w:rPr>
                <m:t>∆E=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z</m:t>
                  </m:r>
                </m:sub>
              </m:sSub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14:paraId="4CF1777F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127" w:type="dxa"/>
          </w:tcPr>
          <w:p w14:paraId="668230D4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35A06" w:rsidRPr="006D1637" w14:paraId="548FD0EA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08CB7C31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energia kinetyczna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01682238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14:paraId="12F57D96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wykonać, by zmienić energię potencjalną ciała i energię kinetyczną tego ciała </w:t>
            </w:r>
          </w:p>
          <w:p w14:paraId="6EDFA2A8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146FF118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pojęcie poziomu zerowego </w:t>
            </w:r>
          </w:p>
          <w:p w14:paraId="2580F0B9" w14:textId="77777777" w:rsidR="00635A06" w:rsidRPr="006D1637" w:rsidRDefault="00635A06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E9FBC3A" w14:textId="77777777" w:rsidR="00635A06" w:rsidRPr="006D1637" w:rsidRDefault="00635A06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energię potencjalną grawitacji ze wzoru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814639">
              <w:rPr>
                <w:i/>
                <w:szCs w:val="18"/>
              </w:rPr>
              <w:t xml:space="preserve">E = </w:t>
            </w:r>
            <w:proofErr w:type="spellStart"/>
            <w:r w:rsidRPr="00814639">
              <w:rPr>
                <w:i/>
                <w:szCs w:val="18"/>
              </w:rPr>
              <w:t>mgh</w:t>
            </w:r>
            <w:proofErr w:type="spellEnd"/>
            <w:r w:rsidRPr="006D1637">
              <w:rPr>
                <w:rFonts w:asciiTheme="minorHAnsi" w:hAnsiTheme="minorHAnsi"/>
                <w:szCs w:val="18"/>
              </w:rPr>
              <w:t xml:space="preserve"> 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3104E0CD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dowolnie wybranego poziomu zerowego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330E93F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zadania, obliczając każdą z wielkości występujących we wzorach na energię kinetyczną i potencjalną ciężkości </w:t>
            </w:r>
          </w:p>
        </w:tc>
        <w:tc>
          <w:tcPr>
            <w:tcW w:w="2127" w:type="dxa"/>
          </w:tcPr>
          <w:p w14:paraId="2670E862" w14:textId="77777777" w:rsidR="00635A06" w:rsidRPr="006D1637" w:rsidRDefault="00635A06" w:rsidP="000F796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635A06" w:rsidRPr="006D1637" w14:paraId="6F708036" w14:textId="77777777" w:rsidTr="000F7969">
        <w:tc>
          <w:tcPr>
            <w:tcW w:w="1908" w:type="dxa"/>
            <w:tcMar>
              <w:left w:w="57" w:type="dxa"/>
              <w:right w:w="57" w:type="dxa"/>
            </w:tcMar>
          </w:tcPr>
          <w:p w14:paraId="2C4E8EA1" w14:textId="77777777" w:rsidR="00635A06" w:rsidRPr="006D1637" w:rsidRDefault="00635A06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6.5. Zasada zachowania energii mechanicznej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CC2865C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14:paraId="2DA96964" w14:textId="77777777" w:rsidR="00635A06" w:rsidRPr="006D1637" w:rsidRDefault="00635A06" w:rsidP="00E73890">
            <w:pPr>
              <w:pStyle w:val="tabelakropka"/>
              <w:rPr>
                <w:spacing w:val="-4"/>
              </w:rPr>
            </w:pPr>
            <w:r w:rsidRPr="006D1637">
              <w:t>podaje przykłady przemiany energii potencjalnej w kinetyczną i na odwrót, z zastosowaniem zasady zachowania energii mechanicznej</w:t>
            </w:r>
          </w:p>
        </w:tc>
        <w:tc>
          <w:tcPr>
            <w:tcW w:w="2785" w:type="dxa"/>
            <w:tcMar>
              <w:left w:w="57" w:type="dxa"/>
              <w:right w:w="57" w:type="dxa"/>
            </w:tcMar>
          </w:tcPr>
          <w:p w14:paraId="573CDF5E" w14:textId="77777777" w:rsidR="00635A06" w:rsidRPr="006D1637" w:rsidRDefault="00635A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5520246" w14:textId="77777777" w:rsidR="00635A06" w:rsidRPr="006D1637" w:rsidRDefault="00635A06" w:rsidP="00E73890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</w:t>
            </w:r>
            <w:r>
              <w:rPr>
                <w:rFonts w:asciiTheme="minorHAnsi" w:hAnsiTheme="minorHAnsi"/>
                <w:szCs w:val="18"/>
              </w:rPr>
              <w:t xml:space="preserve">bjaśnia </w:t>
            </w:r>
            <w:r w:rsidRPr="006D1637">
              <w:rPr>
                <w:rFonts w:asciiTheme="minorHAnsi" w:hAnsiTheme="minorHAnsi"/>
                <w:szCs w:val="18"/>
              </w:rPr>
              <w:t xml:space="preserve">sprawność urządzenia mechanicznego </w:t>
            </w:r>
          </w:p>
        </w:tc>
        <w:tc>
          <w:tcPr>
            <w:tcW w:w="2127" w:type="dxa"/>
          </w:tcPr>
          <w:p w14:paraId="462E0B33" w14:textId="77777777" w:rsidR="00635A06" w:rsidRPr="006D1637" w:rsidRDefault="000F7969" w:rsidP="000F796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wykorzystuje zasadę zachowania energii w zadaniach rachunkowych i problemowych</w:t>
            </w:r>
          </w:p>
        </w:tc>
      </w:tr>
    </w:tbl>
    <w:p w14:paraId="49F38BE8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1F4B1987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1F1F0625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10"/>
      <w:footerReference w:type="default" r:id="rId11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9400" w14:textId="77777777" w:rsidR="00B91F5C" w:rsidRDefault="00B91F5C" w:rsidP="00285D6F">
      <w:r>
        <w:separator/>
      </w:r>
    </w:p>
  </w:endnote>
  <w:endnote w:type="continuationSeparator" w:id="0">
    <w:p w14:paraId="7D1C10B4" w14:textId="77777777" w:rsidR="00B91F5C" w:rsidRDefault="00B91F5C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3165" w14:textId="77777777" w:rsidR="00635A06" w:rsidRDefault="00000000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15EF9">
      <w:rPr>
        <w:noProof/>
      </w:rPr>
      <w:t>1</w:t>
    </w:r>
    <w:r>
      <w:rPr>
        <w:noProof/>
      </w:rPr>
      <w:fldChar w:fldCharType="end"/>
    </w:r>
  </w:p>
  <w:p w14:paraId="618F9F92" w14:textId="77777777" w:rsidR="00635A06" w:rsidRPr="00285D6F" w:rsidRDefault="00635A0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6E1D" w14:textId="77777777" w:rsidR="00B91F5C" w:rsidRDefault="00B91F5C" w:rsidP="00285D6F">
      <w:r>
        <w:separator/>
      </w:r>
    </w:p>
  </w:footnote>
  <w:footnote w:type="continuationSeparator" w:id="0">
    <w:p w14:paraId="24C85C1B" w14:textId="77777777" w:rsidR="00B91F5C" w:rsidRDefault="00B91F5C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8060" w14:textId="77777777" w:rsidR="00635A06" w:rsidRDefault="00635A06" w:rsidP="00EC12C2">
    <w:pPr>
      <w:pStyle w:val="Nagwek"/>
      <w:tabs>
        <w:tab w:val="clear" w:pos="9072"/>
      </w:tabs>
      <w:spacing w:after="40"/>
      <w:ind w:left="142" w:right="142"/>
    </w:pPr>
  </w:p>
  <w:p w14:paraId="1084C81B" w14:textId="77777777" w:rsidR="00635A06" w:rsidRDefault="00635A06" w:rsidP="00435B7E">
    <w:pPr>
      <w:pStyle w:val="Nagwek"/>
      <w:tabs>
        <w:tab w:val="clear" w:pos="9072"/>
      </w:tabs>
      <w:ind w:left="142" w:right="142"/>
    </w:pPr>
  </w:p>
  <w:p w14:paraId="50FD7692" w14:textId="77777777" w:rsidR="00635A06" w:rsidRDefault="00635A06" w:rsidP="00435B7E">
    <w:pPr>
      <w:pStyle w:val="Nagwek"/>
      <w:tabs>
        <w:tab w:val="clear" w:pos="9072"/>
      </w:tabs>
      <w:ind w:left="142" w:right="142"/>
    </w:pPr>
  </w:p>
  <w:p w14:paraId="26BA92D0" w14:textId="77777777" w:rsidR="00635A06" w:rsidRDefault="00635A0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1E6B"/>
    <w:multiLevelType w:val="hybridMultilevel"/>
    <w:tmpl w:val="F244C02A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830690">
    <w:abstractNumId w:val="6"/>
  </w:num>
  <w:num w:numId="2" w16cid:durableId="770205485">
    <w:abstractNumId w:val="1"/>
  </w:num>
  <w:num w:numId="3" w16cid:durableId="892692164">
    <w:abstractNumId w:val="4"/>
  </w:num>
  <w:num w:numId="4" w16cid:durableId="788352067">
    <w:abstractNumId w:val="0"/>
  </w:num>
  <w:num w:numId="5" w16cid:durableId="1154028970">
    <w:abstractNumId w:val="3"/>
  </w:num>
  <w:num w:numId="6" w16cid:durableId="1921524344">
    <w:abstractNumId w:val="7"/>
  </w:num>
  <w:num w:numId="7" w16cid:durableId="165679060">
    <w:abstractNumId w:val="5"/>
  </w:num>
  <w:num w:numId="8" w16cid:durableId="81462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0F7969"/>
    <w:rsid w:val="00121BDD"/>
    <w:rsid w:val="0013131F"/>
    <w:rsid w:val="0014355A"/>
    <w:rsid w:val="00172578"/>
    <w:rsid w:val="001B19E5"/>
    <w:rsid w:val="001C1824"/>
    <w:rsid w:val="001E3BDD"/>
    <w:rsid w:val="001E4CB0"/>
    <w:rsid w:val="001F0820"/>
    <w:rsid w:val="00204130"/>
    <w:rsid w:val="00245DA5"/>
    <w:rsid w:val="00266BE5"/>
    <w:rsid w:val="00271A88"/>
    <w:rsid w:val="00285D6F"/>
    <w:rsid w:val="0028764A"/>
    <w:rsid w:val="002B6466"/>
    <w:rsid w:val="002F1910"/>
    <w:rsid w:val="002F3044"/>
    <w:rsid w:val="00317434"/>
    <w:rsid w:val="0032207A"/>
    <w:rsid w:val="003572A4"/>
    <w:rsid w:val="003643D6"/>
    <w:rsid w:val="003B19DC"/>
    <w:rsid w:val="003C5FC9"/>
    <w:rsid w:val="003E1A8B"/>
    <w:rsid w:val="003E5866"/>
    <w:rsid w:val="00415EF9"/>
    <w:rsid w:val="00426C25"/>
    <w:rsid w:val="00435B7E"/>
    <w:rsid w:val="004428E0"/>
    <w:rsid w:val="004A2457"/>
    <w:rsid w:val="004B3D1D"/>
    <w:rsid w:val="004D6EF4"/>
    <w:rsid w:val="004E014D"/>
    <w:rsid w:val="004F1201"/>
    <w:rsid w:val="004F1889"/>
    <w:rsid w:val="00502C60"/>
    <w:rsid w:val="0050602A"/>
    <w:rsid w:val="00592B22"/>
    <w:rsid w:val="00597EF6"/>
    <w:rsid w:val="005D1A26"/>
    <w:rsid w:val="005D6644"/>
    <w:rsid w:val="00601FE4"/>
    <w:rsid w:val="00602ABB"/>
    <w:rsid w:val="00625DDD"/>
    <w:rsid w:val="00635A06"/>
    <w:rsid w:val="006400AB"/>
    <w:rsid w:val="00672759"/>
    <w:rsid w:val="006734BB"/>
    <w:rsid w:val="00681671"/>
    <w:rsid w:val="006B5810"/>
    <w:rsid w:val="006D1637"/>
    <w:rsid w:val="00786014"/>
    <w:rsid w:val="007B3CB5"/>
    <w:rsid w:val="00814639"/>
    <w:rsid w:val="00823D36"/>
    <w:rsid w:val="00834EEE"/>
    <w:rsid w:val="0083577E"/>
    <w:rsid w:val="00863671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416D6"/>
    <w:rsid w:val="00966535"/>
    <w:rsid w:val="009831EC"/>
    <w:rsid w:val="009871B0"/>
    <w:rsid w:val="009B6CEF"/>
    <w:rsid w:val="009C7362"/>
    <w:rsid w:val="009E0F62"/>
    <w:rsid w:val="009F11A6"/>
    <w:rsid w:val="00A21350"/>
    <w:rsid w:val="00A239DF"/>
    <w:rsid w:val="00A5798A"/>
    <w:rsid w:val="00AA6017"/>
    <w:rsid w:val="00AA699A"/>
    <w:rsid w:val="00AB49BA"/>
    <w:rsid w:val="00B21442"/>
    <w:rsid w:val="00B340A0"/>
    <w:rsid w:val="00B37EBC"/>
    <w:rsid w:val="00B44C97"/>
    <w:rsid w:val="00B476EE"/>
    <w:rsid w:val="00B62952"/>
    <w:rsid w:val="00B63701"/>
    <w:rsid w:val="00B70760"/>
    <w:rsid w:val="00B85FE8"/>
    <w:rsid w:val="00B91F5C"/>
    <w:rsid w:val="00B94C86"/>
    <w:rsid w:val="00BA1644"/>
    <w:rsid w:val="00BB63B0"/>
    <w:rsid w:val="00BD5056"/>
    <w:rsid w:val="00BD5A95"/>
    <w:rsid w:val="00C07D5E"/>
    <w:rsid w:val="00C15780"/>
    <w:rsid w:val="00C31852"/>
    <w:rsid w:val="00C462B1"/>
    <w:rsid w:val="00CB1855"/>
    <w:rsid w:val="00CB7E36"/>
    <w:rsid w:val="00D22D55"/>
    <w:rsid w:val="00D22F46"/>
    <w:rsid w:val="00E73890"/>
    <w:rsid w:val="00E94387"/>
    <w:rsid w:val="00E94882"/>
    <w:rsid w:val="00EC12C2"/>
    <w:rsid w:val="00ED782C"/>
    <w:rsid w:val="00EE01FE"/>
    <w:rsid w:val="00EF484B"/>
    <w:rsid w:val="00F21145"/>
    <w:rsid w:val="00F31C74"/>
    <w:rsid w:val="00F45C15"/>
    <w:rsid w:val="00F50047"/>
    <w:rsid w:val="00F65B06"/>
    <w:rsid w:val="00FD3A8B"/>
    <w:rsid w:val="00FD6B7B"/>
    <w:rsid w:val="00FE6DCD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7017"/>
  <w15:docId w15:val="{022E438D-3B11-4DF9-A6C9-E98437D7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07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4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ECCE-00F0-4CA8-BC56-7A34A070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2761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 Majewska</cp:lastModifiedBy>
  <cp:revision>2</cp:revision>
  <dcterms:created xsi:type="dcterms:W3CDTF">2024-09-07T19:19:00Z</dcterms:created>
  <dcterms:modified xsi:type="dcterms:W3CDTF">2024-09-07T19:19:00Z</dcterms:modified>
</cp:coreProperties>
</file>